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76071" w14:textId="77777777" w:rsidR="008C397A" w:rsidRDefault="008C397A">
      <w:pPr>
        <w:pStyle w:val="BodyText"/>
        <w:spacing w:before="41"/>
        <w:rPr>
          <w:b/>
          <w:sz w:val="28"/>
        </w:rPr>
      </w:pPr>
    </w:p>
    <w:p w14:paraId="414B8D9E" w14:textId="03F7B329" w:rsidR="008C397A" w:rsidRDefault="00000000">
      <w:pPr>
        <w:pStyle w:val="Title"/>
        <w:spacing w:line="254" w:lineRule="auto"/>
      </w:pPr>
      <w:r>
        <w:rPr>
          <w:w w:val="80"/>
        </w:rPr>
        <w:t>I</w:t>
      </w:r>
      <w:r w:rsidR="00AC74D6">
        <w:rPr>
          <w:w w:val="80"/>
        </w:rPr>
        <w:t>mplementation</w:t>
      </w:r>
      <w:r>
        <w:rPr>
          <w:w w:val="80"/>
        </w:rPr>
        <w:t xml:space="preserve"> </w:t>
      </w:r>
      <w:r w:rsidR="00AC74D6">
        <w:rPr>
          <w:w w:val="80"/>
        </w:rPr>
        <w:t>of</w:t>
      </w:r>
      <w:r w:rsidR="00AC74D6">
        <w:rPr>
          <w:spacing w:val="40"/>
        </w:rPr>
        <w:t xml:space="preserve"> </w:t>
      </w:r>
      <w:r w:rsidR="00AC74D6">
        <w:rPr>
          <w:w w:val="90"/>
        </w:rPr>
        <w:t>structured</w:t>
      </w:r>
      <w:r>
        <w:rPr>
          <w:spacing w:val="-12"/>
          <w:w w:val="90"/>
        </w:rPr>
        <w:t xml:space="preserve"> </w:t>
      </w:r>
      <w:r>
        <w:rPr>
          <w:w w:val="90"/>
        </w:rPr>
        <w:t>P</w:t>
      </w:r>
      <w:r w:rsidR="00AC74D6">
        <w:rPr>
          <w:w w:val="90"/>
        </w:rPr>
        <w:t>h</w:t>
      </w:r>
      <w:r>
        <w:rPr>
          <w:w w:val="90"/>
        </w:rPr>
        <w:t>D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M</w:t>
      </w:r>
      <w:r w:rsidR="00AC74D6">
        <w:rPr>
          <w:w w:val="90"/>
        </w:rPr>
        <w:t>Med</w:t>
      </w:r>
      <w:proofErr w:type="spellEnd"/>
      <w:r>
        <w:rPr>
          <w:w w:val="90"/>
        </w:rPr>
        <w:t>/</w:t>
      </w:r>
      <w:proofErr w:type="spellStart"/>
      <w:r>
        <w:rPr>
          <w:w w:val="90"/>
        </w:rPr>
        <w:t>MD</w:t>
      </w:r>
      <w:r w:rsidR="00AC74D6">
        <w:rPr>
          <w:w w:val="90"/>
        </w:rPr>
        <w:t>ent</w:t>
      </w:r>
      <w:proofErr w:type="spellEnd"/>
      <w:r w:rsidR="00AC74D6">
        <w:rPr>
          <w:w w:val="90"/>
        </w:rPr>
        <w:t xml:space="preserve"> degrees</w:t>
      </w:r>
    </w:p>
    <w:p w14:paraId="1FE9EBB1" w14:textId="77777777" w:rsidR="008C397A" w:rsidRDefault="008C397A">
      <w:pPr>
        <w:pStyle w:val="BodyText"/>
        <w:spacing w:before="34"/>
        <w:rPr>
          <w:b/>
        </w:rPr>
      </w:pPr>
    </w:p>
    <w:p w14:paraId="6C039E3E" w14:textId="19D494CC" w:rsidR="008C397A" w:rsidRPr="00FF1EFA" w:rsidRDefault="00000000" w:rsidP="00127D8F">
      <w:pPr>
        <w:pStyle w:val="BodyText"/>
        <w:jc w:val="both"/>
      </w:pPr>
      <w:r w:rsidRPr="00FF1EFA">
        <w:t xml:space="preserve">All PhD, </w:t>
      </w:r>
      <w:proofErr w:type="spellStart"/>
      <w:r w:rsidRPr="00FF1EFA">
        <w:t>MMed</w:t>
      </w:r>
      <w:proofErr w:type="spellEnd"/>
      <w:r w:rsidRPr="00FF1EFA">
        <w:t xml:space="preserve"> and </w:t>
      </w:r>
      <w:proofErr w:type="spellStart"/>
      <w:r w:rsidRPr="00FF1EFA">
        <w:t>MDent</w:t>
      </w:r>
      <w:proofErr w:type="spellEnd"/>
      <w:r w:rsidR="00FF1EFA" w:rsidRPr="00FF1EFA">
        <w:t xml:space="preserve"> </w:t>
      </w:r>
      <w:r w:rsidRPr="00FF1EFA">
        <w:t xml:space="preserve">students who </w:t>
      </w:r>
      <w:r w:rsidR="00FF1EFA" w:rsidRPr="00FF1EFA">
        <w:t>first r</w:t>
      </w:r>
      <w:r w:rsidRPr="00FF1EFA">
        <w:t xml:space="preserve">egister for their </w:t>
      </w:r>
      <w:r w:rsidR="00FF1EFA" w:rsidRPr="00FF1EFA">
        <w:t>degrees after</w:t>
      </w:r>
      <w:r w:rsidRPr="00FF1EFA">
        <w:t xml:space="preserve"> July 2022 are required to compl</w:t>
      </w:r>
      <w:r w:rsidR="00FF1EFA" w:rsidRPr="00FF1EFA">
        <w:t>ete the following courses.</w:t>
      </w:r>
    </w:p>
    <w:p w14:paraId="61DAB286" w14:textId="77777777" w:rsidR="008C397A" w:rsidRDefault="008C397A" w:rsidP="00127D8F">
      <w:pPr>
        <w:pStyle w:val="BodyText"/>
        <w:jc w:val="both"/>
      </w:pPr>
    </w:p>
    <w:p w14:paraId="3E5CB6D7" w14:textId="77777777" w:rsidR="00127D8F" w:rsidRPr="00FF1EFA" w:rsidRDefault="00127D8F" w:rsidP="00127D8F">
      <w:pPr>
        <w:pStyle w:val="BodyText"/>
        <w:jc w:val="both"/>
      </w:pPr>
    </w:p>
    <w:p w14:paraId="1DFF9E37" w14:textId="4FFAD10F" w:rsidR="008C397A" w:rsidRPr="00127D8F" w:rsidRDefault="00127D8F" w:rsidP="00127D8F">
      <w:pPr>
        <w:pStyle w:val="BodyText"/>
        <w:jc w:val="both"/>
        <w:rPr>
          <w:b/>
          <w:bCs/>
          <w:u w:val="single"/>
        </w:rPr>
      </w:pPr>
      <w:r w:rsidRPr="00127D8F">
        <w:rPr>
          <w:b/>
          <w:bCs/>
        </w:rPr>
        <w:t xml:space="preserve">A. </w:t>
      </w:r>
      <w:r w:rsidR="00000000" w:rsidRPr="00127D8F">
        <w:rPr>
          <w:b/>
          <w:bCs/>
          <w:u w:val="single"/>
        </w:rPr>
        <w:t xml:space="preserve">Year 1 of </w:t>
      </w:r>
      <w:r>
        <w:rPr>
          <w:b/>
          <w:bCs/>
          <w:u w:val="single"/>
        </w:rPr>
        <w:t>Registration</w:t>
      </w:r>
    </w:p>
    <w:p w14:paraId="42E26D1D" w14:textId="77777777" w:rsidR="00AC74D6" w:rsidRPr="00FF1EFA" w:rsidRDefault="00AC74D6" w:rsidP="00127D8F">
      <w:pPr>
        <w:pStyle w:val="BodyText"/>
        <w:jc w:val="both"/>
      </w:pPr>
    </w:p>
    <w:p w14:paraId="72656E28" w14:textId="72E50F57" w:rsidR="008C397A" w:rsidRPr="00FF1EFA" w:rsidRDefault="00FF1EFA" w:rsidP="00127D8F">
      <w:pPr>
        <w:pStyle w:val="BodyText"/>
        <w:jc w:val="both"/>
      </w:pPr>
      <w:r w:rsidRPr="00FF1EFA">
        <w:t>Two</w:t>
      </w:r>
      <w:r w:rsidR="00000000" w:rsidRPr="00FF1EFA">
        <w:t xml:space="preserve"> compulsory courses</w:t>
      </w:r>
      <w:r w:rsidRPr="00FF1EFA">
        <w:t>,</w:t>
      </w:r>
      <w:r w:rsidR="00000000" w:rsidRPr="00FF1EFA">
        <w:t xml:space="preserve"> each </w:t>
      </w:r>
      <w:r w:rsidR="00AC74D6" w:rsidRPr="00FF1EFA">
        <w:t>of which is assessed with</w:t>
      </w:r>
      <w:r w:rsidR="00000000" w:rsidRPr="00FF1EFA">
        <w:t xml:space="preserve"> </w:t>
      </w:r>
      <w:r w:rsidR="00AC74D6" w:rsidRPr="00FF1EFA">
        <w:t>an</w:t>
      </w:r>
      <w:r w:rsidR="00000000" w:rsidRPr="00FF1EFA">
        <w:t xml:space="preserve"> MCQ quiz</w:t>
      </w:r>
      <w:r w:rsidRPr="00FF1EFA">
        <w:t>,</w:t>
      </w:r>
      <w:r w:rsidR="00AC74D6" w:rsidRPr="00FF1EFA">
        <w:t xml:space="preserve"> must</w:t>
      </w:r>
      <w:r w:rsidR="00000000" w:rsidRPr="00FF1EFA">
        <w:t xml:space="preserve"> be completed in the first </w:t>
      </w:r>
      <w:r w:rsidR="00AC74D6" w:rsidRPr="00FF1EFA">
        <w:t>12 months</w:t>
      </w:r>
      <w:r w:rsidR="00000000" w:rsidRPr="00FF1EFA">
        <w:t xml:space="preserve"> of </w:t>
      </w:r>
      <w:r w:rsidRPr="00FF1EFA">
        <w:t>registration</w:t>
      </w:r>
      <w:r w:rsidR="00000000" w:rsidRPr="00FF1EFA">
        <w:t xml:space="preserve">. Failure to </w:t>
      </w:r>
      <w:r w:rsidR="00AC74D6" w:rsidRPr="00FF1EFA">
        <w:t>meet these</w:t>
      </w:r>
      <w:r w:rsidR="00000000" w:rsidRPr="00FF1EFA">
        <w:t xml:space="preserve"> requirements may result in de-registration </w:t>
      </w:r>
      <w:r w:rsidR="00AC74D6" w:rsidRPr="00FF1EFA">
        <w:t xml:space="preserve">from </w:t>
      </w:r>
      <w:r w:rsidR="00000000" w:rsidRPr="00FF1EFA">
        <w:t>the degree.</w:t>
      </w:r>
    </w:p>
    <w:p w14:paraId="383FEDFE" w14:textId="77777777" w:rsidR="008C397A" w:rsidRPr="00FF1EFA" w:rsidRDefault="008C397A" w:rsidP="00127D8F">
      <w:pPr>
        <w:pStyle w:val="BodyText"/>
        <w:jc w:val="both"/>
      </w:pPr>
    </w:p>
    <w:p w14:paraId="0799EDB0" w14:textId="534F4B65" w:rsidR="008C397A" w:rsidRPr="00FF1EFA" w:rsidRDefault="008771F4" w:rsidP="00127D8F">
      <w:pPr>
        <w:pStyle w:val="BodyText"/>
        <w:jc w:val="both"/>
      </w:pPr>
      <w:r w:rsidRPr="00FF1EFA">
        <w:t>(</w:t>
      </w:r>
      <w:proofErr w:type="spellStart"/>
      <w:r w:rsidRPr="00FF1EFA">
        <w:t>i</w:t>
      </w:r>
      <w:proofErr w:type="spellEnd"/>
      <w:r w:rsidRPr="00FF1EFA">
        <w:t xml:space="preserve">) </w:t>
      </w:r>
      <w:r w:rsidRPr="00127D8F">
        <w:rPr>
          <w:u w:val="single"/>
        </w:rPr>
        <w:t>Research Methodology</w:t>
      </w:r>
      <w:r w:rsidR="00AC74D6" w:rsidRPr="00FF1EFA">
        <w:t>:</w:t>
      </w:r>
      <w:r w:rsidRPr="00FF1EFA">
        <w:t xml:space="preserve"> available on </w:t>
      </w:r>
      <w:proofErr w:type="spellStart"/>
      <w:r w:rsidRPr="00FF1EFA">
        <w:t>Ulwazi</w:t>
      </w:r>
      <w:proofErr w:type="spellEnd"/>
      <w:r w:rsidRPr="00FF1EFA">
        <w:t xml:space="preserve"> (this course may also be offered by your Department/School</w:t>
      </w:r>
      <w:r w:rsidR="00AC74D6" w:rsidRPr="00FF1EFA">
        <w:t xml:space="preserve"> –</w:t>
      </w:r>
      <w:r w:rsidRPr="00FF1EFA">
        <w:t xml:space="preserve"> please check).</w:t>
      </w:r>
      <w:r w:rsidR="00AC74D6" w:rsidRPr="00FF1EFA">
        <w:t xml:space="preserve"> If it is completed in the Department/School, you will still need to pass the quiz on </w:t>
      </w:r>
      <w:proofErr w:type="spellStart"/>
      <w:r w:rsidR="00AC74D6" w:rsidRPr="00FF1EFA">
        <w:t>Ulwazi</w:t>
      </w:r>
      <w:proofErr w:type="spellEnd"/>
      <w:r w:rsidR="00AC74D6" w:rsidRPr="00FF1EFA">
        <w:t>.</w:t>
      </w:r>
    </w:p>
    <w:p w14:paraId="37402632" w14:textId="77777777" w:rsidR="008C397A" w:rsidRPr="00FF1EFA" w:rsidRDefault="008C397A" w:rsidP="00127D8F">
      <w:pPr>
        <w:pStyle w:val="BodyText"/>
        <w:jc w:val="both"/>
      </w:pPr>
    </w:p>
    <w:p w14:paraId="33061AEA" w14:textId="2BC89325" w:rsidR="008C397A" w:rsidRPr="00FF1EFA" w:rsidRDefault="008771F4" w:rsidP="00127D8F">
      <w:pPr>
        <w:pStyle w:val="BodyText"/>
        <w:jc w:val="both"/>
      </w:pPr>
      <w:r w:rsidRPr="00FF1EFA">
        <w:t xml:space="preserve">(ii) </w:t>
      </w:r>
      <w:r w:rsidRPr="00127D8F">
        <w:rPr>
          <w:u w:val="single"/>
        </w:rPr>
        <w:t>Basic Applied Statistical Methods using S</w:t>
      </w:r>
      <w:r w:rsidR="00AC74D6" w:rsidRPr="00127D8F">
        <w:rPr>
          <w:u w:val="single"/>
        </w:rPr>
        <w:t>tata</w:t>
      </w:r>
      <w:r w:rsidRPr="00127D8F">
        <w:rPr>
          <w:u w:val="single"/>
        </w:rPr>
        <w:t xml:space="preserve"> and </w:t>
      </w:r>
      <w:proofErr w:type="spellStart"/>
      <w:r w:rsidRPr="00127D8F">
        <w:rPr>
          <w:u w:val="single"/>
        </w:rPr>
        <w:t>S</w:t>
      </w:r>
      <w:r w:rsidR="00AC74D6" w:rsidRPr="00127D8F">
        <w:rPr>
          <w:u w:val="single"/>
        </w:rPr>
        <w:t>tatistica</w:t>
      </w:r>
      <w:proofErr w:type="spellEnd"/>
      <w:r w:rsidR="00AC74D6" w:rsidRPr="00FF1EFA">
        <w:t xml:space="preserve">: </w:t>
      </w:r>
      <w:r w:rsidRPr="00FF1EFA">
        <w:t xml:space="preserve">available on </w:t>
      </w:r>
      <w:proofErr w:type="spellStart"/>
      <w:r w:rsidRPr="00FF1EFA">
        <w:t>Ulwazi</w:t>
      </w:r>
      <w:proofErr w:type="spellEnd"/>
      <w:r w:rsidR="006C6B31" w:rsidRPr="00FF1EFA">
        <w:t xml:space="preserve"> and in-person</w:t>
      </w:r>
      <w:r w:rsidRPr="00FF1EFA">
        <w:t>.</w:t>
      </w:r>
    </w:p>
    <w:p w14:paraId="0C43592E" w14:textId="77777777" w:rsidR="008C397A" w:rsidRPr="00FF1EFA" w:rsidRDefault="008C397A" w:rsidP="00127D8F">
      <w:pPr>
        <w:pStyle w:val="BodyText"/>
        <w:jc w:val="both"/>
      </w:pPr>
    </w:p>
    <w:p w14:paraId="0EC0E8D8" w14:textId="40D085C2" w:rsidR="008C397A" w:rsidRPr="00FF1EFA" w:rsidRDefault="00000000" w:rsidP="00127D8F">
      <w:pPr>
        <w:pStyle w:val="BodyText"/>
        <w:jc w:val="both"/>
      </w:pPr>
      <w:r w:rsidRPr="00FF1EFA">
        <w:t xml:space="preserve">Please complete </w:t>
      </w:r>
      <w:r w:rsidR="006C6B31" w:rsidRPr="00FF1EFA">
        <w:t>the</w:t>
      </w:r>
      <w:r w:rsidRPr="00FF1EFA">
        <w:t xml:space="preserve"> booking </w:t>
      </w:r>
      <w:hyperlink r:id="rId7" w:anchor="d.en.21433" w:history="1">
        <w:r w:rsidRPr="00127D8F">
          <w:rPr>
            <w:rStyle w:val="Hyperlink"/>
          </w:rPr>
          <w:t>for</w:t>
        </w:r>
        <w:r w:rsidRPr="00127D8F">
          <w:rPr>
            <w:rStyle w:val="Hyperlink"/>
          </w:rPr>
          <w:t>m</w:t>
        </w:r>
        <w:r w:rsidR="006C6B31" w:rsidRPr="00127D8F">
          <w:rPr>
            <w:rStyle w:val="Hyperlink"/>
          </w:rPr>
          <w:t>s</w:t>
        </w:r>
      </w:hyperlink>
      <w:r w:rsidR="00127D8F">
        <w:t xml:space="preserve"> </w:t>
      </w:r>
      <w:r w:rsidR="006C6B31" w:rsidRPr="00FF1EFA">
        <w:t xml:space="preserve">and email them to </w:t>
      </w:r>
      <w:hyperlink r:id="rId8" w:history="1">
        <w:r w:rsidR="006C6B31" w:rsidRPr="00FF1EFA">
          <w:rPr>
            <w:rStyle w:val="Hyperlink"/>
            <w:color w:val="auto"/>
            <w:u w:val="none"/>
          </w:rPr>
          <w:t>courses.health@wits.ac.za</w:t>
        </w:r>
      </w:hyperlink>
      <w:r w:rsidR="006C6B31" w:rsidRPr="00FF1EFA">
        <w:t xml:space="preserve"> </w:t>
      </w:r>
      <w:r w:rsidRPr="00FF1EFA">
        <w:t xml:space="preserve">to get access to the courses. </w:t>
      </w:r>
    </w:p>
    <w:p w14:paraId="19B1639D" w14:textId="77777777" w:rsidR="008C397A" w:rsidRDefault="008C397A" w:rsidP="00AC74D6">
      <w:pPr>
        <w:pStyle w:val="BodyText"/>
        <w:spacing w:before="20"/>
        <w:jc w:val="both"/>
      </w:pPr>
    </w:p>
    <w:p w14:paraId="454739E7" w14:textId="7C579E6F" w:rsidR="008C397A" w:rsidRPr="004D420C" w:rsidRDefault="00127D8F" w:rsidP="004D420C">
      <w:pPr>
        <w:pStyle w:val="BodyText"/>
        <w:jc w:val="both"/>
        <w:rPr>
          <w:b/>
          <w:bCs/>
        </w:rPr>
      </w:pPr>
      <w:r w:rsidRPr="004D420C">
        <w:rPr>
          <w:b/>
          <w:bCs/>
        </w:rPr>
        <w:t xml:space="preserve">B. </w:t>
      </w:r>
      <w:r w:rsidR="00000000" w:rsidRPr="004D420C">
        <w:rPr>
          <w:b/>
          <w:bCs/>
          <w:u w:val="single"/>
        </w:rPr>
        <w:t xml:space="preserve">MCQ </w:t>
      </w:r>
      <w:r w:rsidR="006C6B31" w:rsidRPr="004D420C">
        <w:rPr>
          <w:b/>
          <w:bCs/>
          <w:u w:val="single"/>
        </w:rPr>
        <w:t>q</w:t>
      </w:r>
      <w:r w:rsidR="00000000" w:rsidRPr="004D420C">
        <w:rPr>
          <w:b/>
          <w:bCs/>
          <w:u w:val="single"/>
        </w:rPr>
        <w:t xml:space="preserve">uizzes for both </w:t>
      </w:r>
      <w:r w:rsidR="006C6B31" w:rsidRPr="004D420C">
        <w:rPr>
          <w:b/>
          <w:bCs/>
          <w:u w:val="single"/>
        </w:rPr>
        <w:t>c</w:t>
      </w:r>
      <w:r w:rsidR="00000000" w:rsidRPr="004D420C">
        <w:rPr>
          <w:b/>
          <w:bCs/>
          <w:u w:val="single"/>
        </w:rPr>
        <w:t>ompulsory Courses</w:t>
      </w:r>
    </w:p>
    <w:p w14:paraId="08D3777D" w14:textId="77777777" w:rsidR="008C397A" w:rsidRPr="004D420C" w:rsidRDefault="008C397A" w:rsidP="004D420C">
      <w:pPr>
        <w:pStyle w:val="BodyText"/>
        <w:jc w:val="both"/>
      </w:pPr>
    </w:p>
    <w:p w14:paraId="339BA1DF" w14:textId="6D317DD0" w:rsidR="008C397A" w:rsidRPr="004D420C" w:rsidRDefault="00000000" w:rsidP="004D420C">
      <w:pPr>
        <w:pStyle w:val="BodyText"/>
        <w:jc w:val="both"/>
      </w:pPr>
      <w:r w:rsidRPr="004D420C">
        <w:t xml:space="preserve">The MCQ can be accessed at any time. Candidates have 30 minutes to complete each quiz. </w:t>
      </w:r>
      <w:r w:rsidR="006C6B31" w:rsidRPr="004D420C">
        <w:t>A</w:t>
      </w:r>
      <w:r w:rsidRPr="004D420C">
        <w:t xml:space="preserve"> certificate of completion will be issued</w:t>
      </w:r>
      <w:r w:rsidR="006C6B31" w:rsidRPr="004D420C">
        <w:t xml:space="preserve"> after passing the quiz</w:t>
      </w:r>
      <w:r w:rsidRPr="004D420C">
        <w:t>.</w:t>
      </w:r>
    </w:p>
    <w:p w14:paraId="749DA8F9" w14:textId="77777777" w:rsidR="008C397A" w:rsidRPr="004D420C" w:rsidRDefault="008C397A" w:rsidP="004D420C">
      <w:pPr>
        <w:pStyle w:val="BodyText"/>
        <w:jc w:val="both"/>
      </w:pPr>
    </w:p>
    <w:p w14:paraId="3E245F57" w14:textId="5AB1502E" w:rsidR="008C397A" w:rsidRPr="004D420C" w:rsidRDefault="006C6B31" w:rsidP="004D420C">
      <w:pPr>
        <w:pStyle w:val="BodyText"/>
        <w:jc w:val="both"/>
      </w:pPr>
      <w:r w:rsidRPr="004D420C">
        <w:t xml:space="preserve">Candidates have three attempts to </w:t>
      </w:r>
      <w:r w:rsidR="004D420C" w:rsidRPr="004D420C">
        <w:t>obtain a minimum</w:t>
      </w:r>
      <w:r w:rsidR="004D420C">
        <w:t xml:space="preserve"> mark</w:t>
      </w:r>
      <w:r w:rsidR="004D420C" w:rsidRPr="004D420C">
        <w:t xml:space="preserve"> of 64%</w:t>
      </w:r>
      <w:r w:rsidRPr="004D420C">
        <w:t xml:space="preserve">. If the candidate fails to pass the quiz after </w:t>
      </w:r>
      <w:r w:rsidR="00766B7E">
        <w:t>three</w:t>
      </w:r>
      <w:r w:rsidRPr="004D420C">
        <w:t xml:space="preserve"> attempts, a fourth attempt is offered in person at the HSRO offices.</w:t>
      </w:r>
    </w:p>
    <w:p w14:paraId="7B4D58FA" w14:textId="77777777" w:rsidR="006C6B31" w:rsidRPr="004D420C" w:rsidRDefault="006C6B31" w:rsidP="004D420C">
      <w:pPr>
        <w:pStyle w:val="BodyText"/>
        <w:jc w:val="both"/>
      </w:pPr>
    </w:p>
    <w:p w14:paraId="516C1ABE" w14:textId="77777777" w:rsidR="008C397A" w:rsidRPr="004D420C" w:rsidRDefault="008C397A" w:rsidP="004D420C">
      <w:pPr>
        <w:pStyle w:val="BodyText"/>
        <w:jc w:val="both"/>
      </w:pPr>
    </w:p>
    <w:p w14:paraId="3B4ACA42" w14:textId="5900EADC" w:rsidR="008C397A" w:rsidRPr="004D420C" w:rsidRDefault="004D420C" w:rsidP="004D420C">
      <w:pPr>
        <w:pStyle w:val="BodyText"/>
        <w:jc w:val="both"/>
        <w:rPr>
          <w:b/>
          <w:bCs/>
        </w:rPr>
      </w:pPr>
      <w:r w:rsidRPr="004D420C">
        <w:rPr>
          <w:b/>
          <w:bCs/>
        </w:rPr>
        <w:t xml:space="preserve">C. </w:t>
      </w:r>
      <w:r w:rsidR="00000000" w:rsidRPr="004D420C">
        <w:rPr>
          <w:b/>
          <w:bCs/>
          <w:u w:val="single"/>
        </w:rPr>
        <w:t>Year 2 of</w:t>
      </w:r>
      <w:r w:rsidR="00766B7E">
        <w:rPr>
          <w:b/>
          <w:bCs/>
          <w:u w:val="single"/>
        </w:rPr>
        <w:t xml:space="preserve"> registration</w:t>
      </w:r>
      <w:r w:rsidR="006C6B31" w:rsidRPr="004D420C">
        <w:rPr>
          <w:b/>
          <w:bCs/>
          <w:u w:val="single"/>
        </w:rPr>
        <w:t xml:space="preserve"> –</w:t>
      </w:r>
      <w:r w:rsidR="00000000" w:rsidRPr="004D420C">
        <w:rPr>
          <w:b/>
          <w:bCs/>
          <w:u w:val="single"/>
        </w:rPr>
        <w:t xml:space="preserve"> PhD</w:t>
      </w:r>
      <w:r w:rsidR="00766B7E">
        <w:rPr>
          <w:b/>
          <w:bCs/>
          <w:u w:val="single"/>
        </w:rPr>
        <w:t xml:space="preserve"> students</w:t>
      </w:r>
      <w:r w:rsidR="00000000" w:rsidRPr="004D420C">
        <w:rPr>
          <w:b/>
          <w:bCs/>
          <w:u w:val="single"/>
        </w:rPr>
        <w:t xml:space="preserve"> only</w:t>
      </w:r>
    </w:p>
    <w:p w14:paraId="5F4EF48D" w14:textId="77777777" w:rsidR="006C6B31" w:rsidRPr="004D420C" w:rsidRDefault="006C6B31" w:rsidP="004D420C">
      <w:pPr>
        <w:pStyle w:val="BodyText"/>
        <w:jc w:val="both"/>
      </w:pPr>
    </w:p>
    <w:p w14:paraId="7089FF53" w14:textId="28660663" w:rsidR="008771F4" w:rsidRPr="004D420C" w:rsidRDefault="00766B7E" w:rsidP="004D420C">
      <w:pPr>
        <w:pStyle w:val="BodyText"/>
        <w:jc w:val="both"/>
      </w:pPr>
      <w:r>
        <w:t>T</w:t>
      </w:r>
      <w:r w:rsidR="00000000" w:rsidRPr="004D420C">
        <w:t xml:space="preserve">wo compulsory courses each </w:t>
      </w:r>
      <w:r w:rsidR="008771F4" w:rsidRPr="004D420C">
        <w:t xml:space="preserve">of which is assessed </w:t>
      </w:r>
      <w:r w:rsidR="00000000" w:rsidRPr="004D420C">
        <w:t xml:space="preserve">with an MCQ quiz </w:t>
      </w:r>
      <w:r w:rsidR="008771F4" w:rsidRPr="004D420C">
        <w:t>which must</w:t>
      </w:r>
      <w:r w:rsidR="00000000" w:rsidRPr="004D420C">
        <w:t xml:space="preserve"> be completed in the second year of </w:t>
      </w:r>
      <w:r>
        <w:t>registration</w:t>
      </w:r>
      <w:r w:rsidR="00000000" w:rsidRPr="004D420C">
        <w:t xml:space="preserve"> for PhD</w:t>
      </w:r>
      <w:r>
        <w:t xml:space="preserve"> students</w:t>
      </w:r>
      <w:r w:rsidR="008771F4" w:rsidRPr="004D420C">
        <w:t xml:space="preserve">: </w:t>
      </w:r>
    </w:p>
    <w:p w14:paraId="35781F8E" w14:textId="77777777" w:rsidR="008771F4" w:rsidRPr="004D420C" w:rsidRDefault="008771F4" w:rsidP="004D420C">
      <w:pPr>
        <w:pStyle w:val="BodyText"/>
        <w:jc w:val="both"/>
      </w:pPr>
    </w:p>
    <w:p w14:paraId="1105C964" w14:textId="0C57851C" w:rsidR="008771F4" w:rsidRPr="004D420C" w:rsidRDefault="008771F4" w:rsidP="004D420C">
      <w:pPr>
        <w:pStyle w:val="BodyText"/>
        <w:jc w:val="both"/>
      </w:pPr>
      <w:r w:rsidRPr="004D420C">
        <w:t>(</w:t>
      </w:r>
      <w:proofErr w:type="spellStart"/>
      <w:r w:rsidRPr="004D420C">
        <w:t>i</w:t>
      </w:r>
      <w:proofErr w:type="spellEnd"/>
      <w:r w:rsidRPr="004D420C">
        <w:t xml:space="preserve">) </w:t>
      </w:r>
      <w:r w:rsidRPr="00766B7E">
        <w:rPr>
          <w:u w:val="single"/>
        </w:rPr>
        <w:t>Scientific Writing Skills</w:t>
      </w:r>
      <w:r w:rsidRPr="004D420C">
        <w:t xml:space="preserve">: Available on </w:t>
      </w:r>
      <w:proofErr w:type="spellStart"/>
      <w:r w:rsidRPr="004D420C">
        <w:t>Ulwazi</w:t>
      </w:r>
      <w:proofErr w:type="spellEnd"/>
      <w:r w:rsidRPr="004D420C">
        <w:t xml:space="preserve"> and in-person. Assessed with submission of an abstract.</w:t>
      </w:r>
    </w:p>
    <w:p w14:paraId="7A2F7A97" w14:textId="77777777" w:rsidR="008771F4" w:rsidRPr="004D420C" w:rsidRDefault="008771F4" w:rsidP="004D420C">
      <w:pPr>
        <w:pStyle w:val="BodyText"/>
        <w:jc w:val="both"/>
      </w:pPr>
    </w:p>
    <w:p w14:paraId="3F3E1AA5" w14:textId="5D1968AD" w:rsidR="008C397A" w:rsidRPr="004D420C" w:rsidRDefault="008771F4" w:rsidP="004D420C">
      <w:pPr>
        <w:pStyle w:val="BodyText"/>
        <w:jc w:val="both"/>
      </w:pPr>
      <w:r w:rsidRPr="004D420C">
        <w:t xml:space="preserve">(ii) </w:t>
      </w:r>
      <w:r w:rsidRPr="00766B7E">
        <w:rPr>
          <w:u w:val="single"/>
        </w:rPr>
        <w:t>Presenting your Research</w:t>
      </w:r>
      <w:r w:rsidRPr="004D420C">
        <w:t xml:space="preserve">: Available in-person only. Assessed </w:t>
      </w:r>
      <w:r w:rsidR="00766B7E">
        <w:t>with</w:t>
      </w:r>
      <w:r w:rsidRPr="004D420C">
        <w:t xml:space="preserve"> an MCQ quiz on </w:t>
      </w:r>
      <w:proofErr w:type="spellStart"/>
      <w:r w:rsidRPr="004D420C">
        <w:t>Ulwazi</w:t>
      </w:r>
      <w:proofErr w:type="spellEnd"/>
      <w:r w:rsidRPr="004D420C">
        <w:t xml:space="preserve"> and submission of</w:t>
      </w:r>
      <w:r w:rsidR="000258B1" w:rsidRPr="004D420C">
        <w:t xml:space="preserve"> a rubric for the practical session.</w:t>
      </w:r>
    </w:p>
    <w:p w14:paraId="3CF084B1" w14:textId="77777777" w:rsidR="008C397A" w:rsidRPr="004D420C" w:rsidRDefault="008C397A" w:rsidP="004D420C">
      <w:pPr>
        <w:pStyle w:val="BodyText"/>
        <w:jc w:val="both"/>
      </w:pPr>
    </w:p>
    <w:p w14:paraId="721F52F0" w14:textId="1947F6FA" w:rsidR="008C397A" w:rsidRPr="00766B7E" w:rsidRDefault="00766B7E" w:rsidP="004D420C">
      <w:pPr>
        <w:pStyle w:val="BodyText"/>
        <w:jc w:val="both"/>
        <w:rPr>
          <w:b/>
          <w:bCs/>
        </w:rPr>
      </w:pPr>
      <w:r w:rsidRPr="00766B7E">
        <w:rPr>
          <w:b/>
          <w:bCs/>
        </w:rPr>
        <w:t xml:space="preserve">D. </w:t>
      </w:r>
      <w:r w:rsidR="00000000" w:rsidRPr="00766B7E">
        <w:rPr>
          <w:b/>
          <w:bCs/>
          <w:u w:val="single"/>
        </w:rPr>
        <w:t xml:space="preserve">Availability of </w:t>
      </w:r>
      <w:r w:rsidR="000258B1" w:rsidRPr="00766B7E">
        <w:rPr>
          <w:b/>
          <w:bCs/>
          <w:u w:val="single"/>
        </w:rPr>
        <w:t>additional</w:t>
      </w:r>
      <w:r w:rsidR="00000000" w:rsidRPr="00766B7E">
        <w:rPr>
          <w:b/>
          <w:bCs/>
          <w:u w:val="single"/>
        </w:rPr>
        <w:t>, non-compulsory courses through the HSRO</w:t>
      </w:r>
    </w:p>
    <w:p w14:paraId="70B97E05" w14:textId="77777777" w:rsidR="000258B1" w:rsidRPr="004D420C" w:rsidRDefault="000258B1" w:rsidP="004D420C">
      <w:pPr>
        <w:pStyle w:val="BodyText"/>
        <w:jc w:val="both"/>
      </w:pPr>
    </w:p>
    <w:p w14:paraId="36BDBCD2" w14:textId="63E8ECFA" w:rsidR="008C397A" w:rsidRPr="004D420C" w:rsidRDefault="00000000" w:rsidP="004D420C">
      <w:pPr>
        <w:pStyle w:val="BodyText"/>
        <w:jc w:val="both"/>
      </w:pPr>
      <w:r w:rsidRPr="004D420C">
        <w:t>All candidates can access any of the courses offer</w:t>
      </w:r>
      <w:r w:rsidR="000258B1" w:rsidRPr="004D420C">
        <w:t>ed</w:t>
      </w:r>
      <w:r w:rsidRPr="004D420C">
        <w:t xml:space="preserve"> through the HSRO, </w:t>
      </w:r>
      <w:r w:rsidR="00766B7E">
        <w:t>which are offered either</w:t>
      </w:r>
      <w:r w:rsidRPr="004D420C">
        <w:t xml:space="preserve"> face to face, or online. </w:t>
      </w:r>
      <w:r w:rsidR="007C2AB5" w:rsidRPr="004D420C">
        <w:t>For more information, please</w:t>
      </w:r>
      <w:r w:rsidRPr="004D420C">
        <w:t xml:space="preserve"> contact </w:t>
      </w:r>
      <w:hyperlink r:id="rId9">
        <w:r w:rsidRPr="004D420C">
          <w:t>courses.health@wits.ac.za</w:t>
        </w:r>
      </w:hyperlink>
    </w:p>
    <w:p w14:paraId="280192E4" w14:textId="77777777" w:rsidR="008C397A" w:rsidRPr="004D420C" w:rsidRDefault="008C397A" w:rsidP="004D420C">
      <w:pPr>
        <w:pStyle w:val="BodyText"/>
        <w:jc w:val="both"/>
      </w:pPr>
    </w:p>
    <w:p w14:paraId="5F6CFD0F" w14:textId="77777777" w:rsidR="008C397A" w:rsidRPr="00127D8F" w:rsidRDefault="008C397A" w:rsidP="00127D8F">
      <w:pPr>
        <w:pStyle w:val="BodyText"/>
        <w:jc w:val="both"/>
      </w:pPr>
    </w:p>
    <w:p w14:paraId="7335062F" w14:textId="06677C00" w:rsidR="008C397A" w:rsidRPr="00127D8F" w:rsidRDefault="008C397A" w:rsidP="00127D8F">
      <w:pPr>
        <w:pStyle w:val="BodyText"/>
        <w:jc w:val="both"/>
      </w:pPr>
    </w:p>
    <w:sectPr w:rsidR="008C397A" w:rsidRPr="00127D8F">
      <w:headerReference w:type="default" r:id="rId10"/>
      <w:pgSz w:w="11900" w:h="16840"/>
      <w:pgMar w:top="1880" w:right="1417" w:bottom="280" w:left="1417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8AFE" w14:textId="77777777" w:rsidR="00035F36" w:rsidRDefault="00035F36">
      <w:r>
        <w:separator/>
      </w:r>
    </w:p>
  </w:endnote>
  <w:endnote w:type="continuationSeparator" w:id="0">
    <w:p w14:paraId="7C932A11" w14:textId="77777777" w:rsidR="00035F36" w:rsidRDefault="0003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57B6E" w14:textId="77777777" w:rsidR="00035F36" w:rsidRDefault="00035F36">
      <w:r>
        <w:separator/>
      </w:r>
    </w:p>
  </w:footnote>
  <w:footnote w:type="continuationSeparator" w:id="0">
    <w:p w14:paraId="72F55E88" w14:textId="77777777" w:rsidR="00035F36" w:rsidRDefault="0003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F883" w14:textId="77777777" w:rsidR="008C397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2784" behindDoc="1" locked="0" layoutInCell="1" allowOverlap="1" wp14:anchorId="4980CC4A" wp14:editId="6D29FE42">
          <wp:simplePos x="0" y="0"/>
          <wp:positionH relativeFrom="page">
            <wp:posOffset>4552950</wp:posOffset>
          </wp:positionH>
          <wp:positionV relativeFrom="page">
            <wp:posOffset>450850</wp:posOffset>
          </wp:positionV>
          <wp:extent cx="2087372" cy="602615"/>
          <wp:effectExtent l="0" t="0" r="0" b="0"/>
          <wp:wrapNone/>
          <wp:docPr id="5810334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7372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43296" behindDoc="1" locked="0" layoutInCell="1" allowOverlap="1" wp14:anchorId="7F0C1FD6" wp14:editId="0F2E4A4F">
          <wp:simplePos x="0" y="0"/>
          <wp:positionH relativeFrom="page">
            <wp:posOffset>938224</wp:posOffset>
          </wp:positionH>
          <wp:positionV relativeFrom="page">
            <wp:posOffset>609749</wp:posOffset>
          </wp:positionV>
          <wp:extent cx="1758234" cy="430305"/>
          <wp:effectExtent l="0" t="0" r="0" b="0"/>
          <wp:wrapNone/>
          <wp:docPr id="173000636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8234" cy="430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47F85"/>
    <w:multiLevelType w:val="hybridMultilevel"/>
    <w:tmpl w:val="CD00F1DA"/>
    <w:lvl w:ilvl="0" w:tplc="BAA0217E">
      <w:start w:val="1"/>
      <w:numFmt w:val="upperLetter"/>
      <w:lvlText w:val="%1."/>
      <w:lvlJc w:val="left"/>
      <w:pPr>
        <w:ind w:left="74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2"/>
        <w:szCs w:val="22"/>
        <w:u w:val="none"/>
        <w:lang w:val="en-US" w:eastAsia="en-US" w:bidi="ar-SA"/>
      </w:rPr>
    </w:lvl>
    <w:lvl w:ilvl="1" w:tplc="3FC84698">
      <w:start w:val="1"/>
      <w:numFmt w:val="decimal"/>
      <w:lvlText w:val="%2."/>
      <w:lvlJc w:val="left"/>
      <w:pPr>
        <w:ind w:left="7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2"/>
        <w:szCs w:val="22"/>
        <w:lang w:val="en-US" w:eastAsia="en-US" w:bidi="ar-SA"/>
      </w:rPr>
    </w:lvl>
    <w:lvl w:ilvl="2" w:tplc="AD145956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3" w:tplc="9C46CD1E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85EC4C4C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73C837C6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1444CE14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775692E0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 w:tplc="2402EE42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num w:numId="1" w16cid:durableId="100423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7A"/>
    <w:rsid w:val="000258B1"/>
    <w:rsid w:val="00035F36"/>
    <w:rsid w:val="00127D8F"/>
    <w:rsid w:val="00236B2D"/>
    <w:rsid w:val="004D420C"/>
    <w:rsid w:val="004E1411"/>
    <w:rsid w:val="006B1B65"/>
    <w:rsid w:val="006C6B31"/>
    <w:rsid w:val="00766B7E"/>
    <w:rsid w:val="007C2AB5"/>
    <w:rsid w:val="008771F4"/>
    <w:rsid w:val="008C397A"/>
    <w:rsid w:val="009F450D"/>
    <w:rsid w:val="00AC74D6"/>
    <w:rsid w:val="00B05537"/>
    <w:rsid w:val="00E371A6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6E0C47"/>
  <w15:docId w15:val="{FCAD32A0-9698-5A49-91CC-7F5AFAE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41" w:hanging="35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6" w:right="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4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6B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es.health@wits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ts.ac.za/health/research/research-office/resources/staff-and-postgraduate-research-and-statistical-support/research-courses-and-workshops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urses.health@wits.ac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Papathanasopoulos</dc:creator>
  <cp:lastModifiedBy>Qiniso Mkhize</cp:lastModifiedBy>
  <cp:revision>6</cp:revision>
  <cp:lastPrinted>2025-06-09T09:27:00Z</cp:lastPrinted>
  <dcterms:created xsi:type="dcterms:W3CDTF">2025-06-09T08:34:00Z</dcterms:created>
  <dcterms:modified xsi:type="dcterms:W3CDTF">2025-06-10T10:47:00Z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2025-05-04T00:00:00Z</vt:filetime>
  </property>
</Properties>
</file>